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92-e</w:t>
        </w:r>
      </w:fldSimple>
      <w:r>
        <w:rPr>
          <w:b/>
          <w:i/>
          <w:noProof/>
          <w:sz w:val="28"/>
        </w:rPr>
        <w:tab/>
      </w:r>
      <w:fldSimple w:instr=" DOCPROPERTY  Tdoc#  \* MERGEFORMAT ">
        <w:r>
          <w:rPr>
            <w:b/>
            <w:i/>
            <w:noProof/>
            <w:sz w:val="28"/>
          </w:rPr>
          <w:t>R5-215566</w:t>
        </w:r>
      </w:fldSimple>
      <w:r>
        <w:rPr>
          <w:b/>
          <w:i/>
          <w:noProof/>
          <w:sz w:val="28"/>
          <w:highlight w:val="cyan"/>
        </w:rPr>
        <w:t>r2</w:t>
      </w:r>
    </w:p>
    <w:p>
      <w:pPr>
        <w:pStyle w:val="CRCoverPage"/>
        <w:outlineLvl w:val="0"/>
        <w:rPr>
          <w:b/>
          <w:noProof/>
          <w:sz w:val="24"/>
        </w:rPr>
      </w:pPr>
      <w:fldSimple w:instr=" DOCPROPERTY  Location  \* MERGEFORMAT ">
        <w:r>
          <w:rPr>
            <w:b/>
            <w:noProof/>
            <w:sz w:val="24"/>
          </w:rPr>
          <w:t xml:space="preserve">Electronic Meeting, 16th – 27th August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1377</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17.1.0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 xml:space="preserve">Correction to </w:t>
              </w:r>
              <w:r>
                <w:rPr>
                  <w:noProof/>
                </w:rPr>
                <w:t>test applicability for different NS value</w:t>
              </w:r>
              <w:r>
                <w:t xml:space="preserve">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Austria RFFE GmbH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5GS_NR_LTE-UEConTest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2021-08-</w:t>
              </w:r>
            </w:fldSimple>
            <w:r>
              <w:rPr>
                <w:noProof/>
              </w:rPr>
              <w:t>06</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TS 38.101-1 spec has different NS values specified at different releases. The corresponding TS38.521-1 doesn’t reflect this release specifc requirement.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Updated test applicability for A-MPR</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6.2.3, 6.5.3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rPr>
                <w:noProof/>
                <w:highlight w:val="yellow"/>
              </w:rPr>
            </w:pPr>
            <w:r>
              <w:rPr>
                <w:noProof/>
                <w:highlight w:val="yellow"/>
              </w:rPr>
              <w:fldChar w:fldCharType="begin"/>
            </w:r>
            <w:r>
              <w:rPr>
                <w:noProof/>
                <w:highlight w:val="yellow"/>
              </w:rPr>
              <w:instrText xml:space="preserve"> DOCPROPERTY  Tdoc#  \* MERGEFORMAT </w:instrText>
            </w:r>
            <w:r>
              <w:rPr>
                <w:noProof/>
                <w:highlight w:val="yellow"/>
              </w:rPr>
              <w:fldChar w:fldCharType="separate"/>
            </w:r>
            <w:r>
              <w:rPr>
                <w:noProof/>
                <w:highlight w:val="yellow"/>
              </w:rPr>
              <w:t>R5-215566</w:t>
            </w:r>
            <w:r>
              <w:rPr>
                <w:noProof/>
                <w:highlight w:val="yellow"/>
              </w:rPr>
              <w:fldChar w:fldCharType="end"/>
            </w:r>
            <w:r>
              <w:rPr>
                <w:noProof/>
                <w:highlight w:val="yellow"/>
              </w:rPr>
              <w:t xml:space="preserve">r1 change – </w:t>
            </w:r>
          </w:p>
          <w:p>
            <w:pPr>
              <w:pStyle w:val="CRCoverPage"/>
              <w:numPr>
                <w:ilvl w:val="0"/>
                <w:numId w:val="2"/>
              </w:numPr>
              <w:spacing w:after="0"/>
              <w:rPr>
                <w:noProof/>
              </w:rPr>
            </w:pPr>
            <w:r>
              <w:rPr>
                <w:noProof/>
                <w:highlight w:val="yellow"/>
              </w:rPr>
              <w:t>Changed title “Correction to test applicability for different NS values” to  “Correction to test applicability for different NS value”</w:t>
            </w:r>
          </w:p>
          <w:p>
            <w:pPr>
              <w:pStyle w:val="CRCoverPage"/>
              <w:spacing w:after="0"/>
              <w:rPr>
                <w:noProof/>
              </w:rPr>
            </w:pPr>
            <w:r>
              <w:rPr>
                <w:noProof/>
                <w:highlight w:val="cyan"/>
              </w:rPr>
              <w:fldChar w:fldCharType="begin"/>
            </w:r>
            <w:r>
              <w:rPr>
                <w:noProof/>
                <w:highlight w:val="cyan"/>
              </w:rPr>
              <w:instrText xml:space="preserve"> DOCPROPERTY  Tdoc#  \* MERGEFORMAT </w:instrText>
            </w:r>
            <w:r>
              <w:rPr>
                <w:noProof/>
                <w:highlight w:val="cyan"/>
              </w:rPr>
              <w:fldChar w:fldCharType="separate"/>
            </w:r>
            <w:r>
              <w:rPr>
                <w:noProof/>
                <w:highlight w:val="cyan"/>
              </w:rPr>
              <w:t>R5-215566</w:t>
            </w:r>
            <w:r>
              <w:rPr>
                <w:noProof/>
                <w:highlight w:val="cyan"/>
              </w:rPr>
              <w:fldChar w:fldCharType="end"/>
            </w:r>
            <w:r>
              <w:rPr>
                <w:noProof/>
                <w:highlight w:val="cyan"/>
              </w:rPr>
              <w:t>r</w:t>
            </w:r>
            <w:r>
              <w:rPr>
                <w:noProof/>
                <w:highlight w:val="cyan"/>
              </w:rPr>
              <w:t>2</w:t>
            </w:r>
            <w:r>
              <w:rPr>
                <w:noProof/>
                <w:highlight w:val="cyan"/>
              </w:rPr>
              <w:t xml:space="preserve"> change</w:t>
            </w:r>
          </w:p>
          <w:p>
            <w:pPr>
              <w:pStyle w:val="CRCoverPage"/>
              <w:numPr>
                <w:ilvl w:val="0"/>
                <w:numId w:val="1"/>
              </w:numPr>
              <w:spacing w:after="0"/>
              <w:rPr>
                <w:noProof/>
                <w:highlight w:val="cyan"/>
              </w:rPr>
            </w:pPr>
            <w:r>
              <w:rPr>
                <w:noProof/>
                <w:highlight w:val="cyan"/>
              </w:rPr>
              <w:t>Updated 6.2.3.2 based on discussion</w:t>
            </w:r>
          </w:p>
          <w:p>
            <w:pPr>
              <w:pStyle w:val="CRCoverPage"/>
              <w:numPr>
                <w:ilvl w:val="0"/>
                <w:numId w:val="1"/>
              </w:numPr>
              <w:spacing w:after="0"/>
              <w:rPr>
                <w:b/>
                <w:i/>
                <w:noProof/>
                <w:sz w:val="28"/>
              </w:rPr>
            </w:pPr>
            <w:r>
              <w:rPr>
                <w:noProof/>
                <w:highlight w:val="cyan"/>
              </w:rPr>
              <w:t xml:space="preserve">Updated </w:t>
            </w:r>
            <w:r>
              <w:rPr>
                <w:noProof/>
                <w:highlight w:val="cyan"/>
              </w:rPr>
              <w:t>6.5.3.3.2</w:t>
            </w:r>
            <w:r>
              <w:rPr>
                <w:noProof/>
                <w:highlight w:val="cyan"/>
              </w:rPr>
              <w:t xml:space="preserve"> </w:t>
            </w:r>
            <w:r>
              <w:rPr>
                <w:noProof/>
                <w:highlight w:val="cyan"/>
              </w:rPr>
              <w:t>based on discussion</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3"/>
        <w:ind w:left="0" w:firstLine="0"/>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r>
        <w:t>6.2.3</w:t>
      </w:r>
      <w:r>
        <w:rPr>
          <w:lang w:eastAsia="zh-CN"/>
        </w:rPr>
        <w:tab/>
      </w:r>
      <w:r>
        <w:t>UE additional maximum output power reduction</w:t>
      </w:r>
      <w:bookmarkEnd w:id="1"/>
      <w:bookmarkEnd w:id="2"/>
      <w:bookmarkEnd w:id="3"/>
      <w:bookmarkEnd w:id="4"/>
      <w:bookmarkEnd w:id="5"/>
      <w:bookmarkEnd w:id="6"/>
      <w:bookmarkEnd w:id="7"/>
      <w:bookmarkEnd w:id="8"/>
      <w:bookmarkEnd w:id="9"/>
    </w:p>
    <w:p>
      <w:pPr>
        <w:pStyle w:val="EditorsNote"/>
      </w:pPr>
      <w:r>
        <w:t>Editor’s note: The following aspects are either missing or not yet determined:</w:t>
      </w:r>
    </w:p>
    <w:p>
      <w:pPr>
        <w:pStyle w:val="EditorsNote"/>
      </w:pPr>
      <w:r>
        <w:t>- Tests for network signalling values NS_07, NS_40</w:t>
      </w:r>
      <w:r>
        <w:rPr>
          <w:rFonts w:ascii="SimSun" w:hAnsi="SimSun"/>
          <w:lang w:eastAsia="zh-CN"/>
        </w:rPr>
        <w:t>,</w:t>
      </w:r>
      <w:r>
        <w:t xml:space="preserve"> NS_09 not complete.</w:t>
      </w:r>
    </w:p>
    <w:p>
      <w:pPr>
        <w:pStyle w:val="EditorsNote"/>
        <w:rPr>
          <w:ins w:id="10" w:author="Kevin Wang (QMC)" w:date="2021-08-25T10:59:00Z"/>
        </w:rPr>
      </w:pPr>
      <w:bookmarkStart w:id="11" w:name="_Toc27477805"/>
      <w:bookmarkStart w:id="12" w:name="_Toc36226484"/>
      <w:bookmarkStart w:id="13" w:name="_Toc44323739"/>
      <w:bookmarkStart w:id="14" w:name="_Toc52989904"/>
      <w:r>
        <w:t>- PC1 requirements for NR operating bands other than Band n14 are not fully defined in RAN4 Rel-15 and Rel-16 specifications due to the lack of MPR requirements.</w:t>
      </w:r>
    </w:p>
    <w:p>
      <w:pPr>
        <w:pStyle w:val="EditorsNote"/>
      </w:pPr>
      <w:ins w:id="15" w:author="Kevin Wang (QMC)" w:date="2021-08-25T10:59:00Z">
        <w:r>
          <w:t xml:space="preserve">- </w:t>
        </w:r>
        <w:r>
          <w:t>The requirements of this test apply in test case 6.5.3.3 Additional Spurious Emissions for network signalling values NS_44, NS_46, NS_47, NS_48, and NS_49 to all types of NR Power Class 2 and 3 UE release 16 forward, and UE release 15 if the corresponding channel bandwidths are supported.</w:t>
        </w:r>
      </w:ins>
    </w:p>
    <w:p>
      <w:pPr>
        <w:pStyle w:val="Heading4"/>
        <w:overflowPunct w:val="0"/>
        <w:autoSpaceDE w:val="0"/>
        <w:autoSpaceDN w:val="0"/>
        <w:adjustRightInd w:val="0"/>
        <w:textAlignment w:val="baseline"/>
        <w:rPr>
          <w:lang w:eastAsia="en-GB"/>
        </w:rPr>
        <w:pPrChange w:id="16" w:author="Kevin Wang (QMC)" w:date="2021-08-06T00:03:00Z">
          <w:pPr>
            <w:pStyle w:val="H6"/>
          </w:pPr>
        </w:pPrChange>
      </w:pPr>
      <w:bookmarkStart w:id="17" w:name="_Toc60823095"/>
      <w:bookmarkStart w:id="18" w:name="_Toc60825017"/>
      <w:bookmarkStart w:id="19" w:name="_Toc69305914"/>
      <w:r>
        <w:rPr>
          <w:lang w:eastAsia="en-GB"/>
        </w:rPr>
        <w:t>6.2.3.1</w:t>
      </w:r>
      <w:r>
        <w:rPr>
          <w:lang w:eastAsia="en-GB"/>
        </w:rPr>
        <w:tab/>
        <w:t>Test purpose</w:t>
      </w:r>
      <w:bookmarkEnd w:id="11"/>
      <w:bookmarkEnd w:id="12"/>
      <w:bookmarkEnd w:id="13"/>
      <w:bookmarkEnd w:id="14"/>
      <w:bookmarkEnd w:id="17"/>
      <w:bookmarkEnd w:id="18"/>
      <w:bookmarkEnd w:id="19"/>
    </w:p>
    <w:p>
      <w:pPr>
        <w:rPr>
          <w:i/>
        </w:rPr>
      </w:pPr>
      <w:r>
        <w:t xml:space="preserve">Additional emission requirements can be signalled by the network. Each additional emission requirement is associated with a unique network signalling (NS) </w:t>
      </w:r>
      <w:r>
        <w:rPr>
          <w:lang w:eastAsia="zh-CN"/>
        </w:rPr>
        <w:t xml:space="preserve">value indicated in RRC signalling by </w:t>
      </w:r>
      <w:r>
        <w:t>an NR frequency band number of the applicable operating band and an associated value in</w:t>
      </w:r>
      <w:r>
        <w:rPr>
          <w:lang w:eastAsia="zh-CN"/>
        </w:rPr>
        <w:t xml:space="preserve"> </w:t>
      </w:r>
      <w:r>
        <w:t xml:space="preserve">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frequency band number of the applicable operating band, the IE field </w:t>
      </w:r>
      <w:proofErr w:type="spellStart"/>
      <w:r>
        <w:rPr>
          <w:i/>
          <w:lang w:eastAsia="x-none"/>
        </w:rPr>
        <w:t>freqBandIndicatorNR</w:t>
      </w:r>
      <w:proofErr w:type="spellEnd"/>
      <w:r>
        <w:rPr>
          <w:lang w:eastAsia="x-none"/>
        </w:rPr>
        <w:t xml:space="preserve"> </w:t>
      </w:r>
      <w:r>
        <w:t xml:space="preserve">and an associated value of </w:t>
      </w:r>
      <w:proofErr w:type="spellStart"/>
      <w:r>
        <w:rPr>
          <w:i/>
        </w:rPr>
        <w:t>additionalSpectrumEmission</w:t>
      </w:r>
      <w:proofErr w:type="spellEnd"/>
      <w:r>
        <w:rPr>
          <w:i/>
        </w:rPr>
        <w:t xml:space="preserve"> </w:t>
      </w:r>
      <w:r>
        <w:t>in the relevant RRC information elements [6]</w:t>
      </w:r>
      <w:r>
        <w:rPr>
          <w:i/>
        </w:rPr>
        <w:t>.</w:t>
      </w:r>
    </w:p>
    <w:p>
      <w:r>
        <w:t xml:space="preserve">To meet the additional requirements, additional maximum power reduction (A-MPR) is allowed for the maximum output power as specified in Table 6.2.1.3-1. Unless stated otherwise, the total reduction to UE maximum output power is </w:t>
      </w:r>
      <w:proofErr w:type="gramStart"/>
      <w:r>
        <w:t>max(</w:t>
      </w:r>
      <w:proofErr w:type="gramEnd"/>
      <w:r>
        <w:t>MPR, A-MPR) where MPR is defined in clause 6.2.2. Outer and inner allocation notation used in clause 6.2.3 is defined in clause 6.2.2. In absence of modulation and waveform types the A-MPR applies to all modulation and waveform types.</w:t>
      </w:r>
    </w:p>
    <w:p>
      <w:pPr>
        <w:pStyle w:val="Heading4"/>
        <w:overflowPunct w:val="0"/>
        <w:autoSpaceDE w:val="0"/>
        <w:autoSpaceDN w:val="0"/>
        <w:adjustRightInd w:val="0"/>
        <w:textAlignment w:val="baseline"/>
        <w:rPr>
          <w:lang w:eastAsia="en-GB"/>
        </w:rPr>
        <w:pPrChange w:id="20" w:author="Kevin Wang (QMC)" w:date="2021-08-06T00:03:00Z">
          <w:pPr>
            <w:pStyle w:val="H6"/>
          </w:pPr>
        </w:pPrChange>
      </w:pPr>
      <w:bookmarkStart w:id="21" w:name="_Toc27477806"/>
      <w:bookmarkStart w:id="22" w:name="_Toc36226485"/>
      <w:bookmarkStart w:id="23" w:name="_Toc44323740"/>
      <w:bookmarkStart w:id="24" w:name="_Toc52989905"/>
      <w:bookmarkStart w:id="25" w:name="_Toc60823096"/>
      <w:bookmarkStart w:id="26" w:name="_Toc60825018"/>
      <w:bookmarkStart w:id="27" w:name="_Toc69305915"/>
      <w:r>
        <w:rPr>
          <w:lang w:eastAsia="en-GB"/>
        </w:rPr>
        <w:t>6.2.3.2</w:t>
      </w:r>
      <w:r>
        <w:rPr>
          <w:lang w:eastAsia="en-GB"/>
        </w:rPr>
        <w:tab/>
        <w:t>Test applicability</w:t>
      </w:r>
      <w:bookmarkEnd w:id="21"/>
      <w:bookmarkEnd w:id="22"/>
      <w:bookmarkEnd w:id="23"/>
      <w:bookmarkEnd w:id="24"/>
      <w:bookmarkEnd w:id="25"/>
      <w:bookmarkEnd w:id="26"/>
      <w:bookmarkEnd w:id="27"/>
    </w:p>
    <w:p>
      <w:bookmarkStart w:id="28" w:name="_Hlk521409288"/>
      <w:r>
        <w:t>The requirements of this test apply in test case 6.5.2.3 Additional Spectrum Emission mask for network signalling values NS_03, NS_03U, NS_04, NS_06, and NS_35 to all types of NR UE release 15 and forward and NR Power Class 1 UE release 15 and forward in NR Band n14.</w:t>
      </w:r>
    </w:p>
    <w:p>
      <w:r>
        <w:t>The requirements of this test apply in test case 6.5.2.4 Adjacent channel leakage ratio for network signalling values NS_03U, NS_05U, NS_43U and NS_100 to all types of NR Power Class 2 and 3 UE release 15 and forward.</w:t>
      </w:r>
    </w:p>
    <w:p>
      <w:bookmarkStart w:id="29" w:name="_Hlk80741407"/>
      <w:r>
        <w:t>The requirements of this test apply in test case 6.5.3.3 Additional Spurious Emissions for network signalling values NS_04, NS_05, NS_05U, NS_12, NS_13, NS_14, NS_15, NS_17, NS_18, NS_21, NS_37, NS_38, NS_39, NS_40, NS_41, NS_42, NS_43, NS_43U, NS_44, NS_45, NS_48, NS_49 and NS_50 to all types of NR Power Class 2 and 3 UE release 15 and forward.</w:t>
      </w:r>
    </w:p>
    <w:bookmarkEnd w:id="29"/>
    <w:p>
      <w:pPr>
        <w:rPr>
          <w:rFonts w:eastAsia="??"/>
          <w:b/>
          <w:bCs/>
          <w:color w:val="FF0000"/>
          <w:sz w:val="28"/>
          <w:szCs w:val="28"/>
        </w:rPr>
      </w:pPr>
      <w:r>
        <w:rPr>
          <w:rFonts w:eastAsia="??"/>
          <w:b/>
          <w:bCs/>
          <w:color w:val="FF0000"/>
          <w:sz w:val="28"/>
          <w:szCs w:val="28"/>
          <w:highlight w:val="yellow"/>
        </w:rPr>
        <w:t>&lt;&lt; Unchanged sections skipped&gt;&gt;</w:t>
      </w:r>
    </w:p>
    <w:p>
      <w:pPr>
        <w:pStyle w:val="Heading3"/>
      </w:pPr>
      <w:bookmarkStart w:id="30" w:name="_Toc27478175"/>
      <w:bookmarkStart w:id="31" w:name="_Toc36226887"/>
      <w:bookmarkStart w:id="32" w:name="_Toc44324172"/>
      <w:bookmarkStart w:id="33" w:name="_Toc52990366"/>
      <w:bookmarkStart w:id="34" w:name="_Toc60823565"/>
      <w:bookmarkStart w:id="35" w:name="_Toc60825487"/>
      <w:bookmarkStart w:id="36" w:name="_Toc69306276"/>
      <w:bookmarkStart w:id="37" w:name="_Toc69309941"/>
      <w:bookmarkStart w:id="38" w:name="_Toc76020264"/>
      <w:bookmarkStart w:id="39" w:name="_Toc27478188"/>
      <w:bookmarkStart w:id="40" w:name="_Toc36226900"/>
      <w:bookmarkStart w:id="41" w:name="_Toc44324185"/>
      <w:bookmarkStart w:id="42" w:name="_Toc52990379"/>
      <w:bookmarkStart w:id="43" w:name="_Toc60823578"/>
      <w:bookmarkStart w:id="44" w:name="_Toc60825500"/>
      <w:bookmarkStart w:id="45" w:name="_Toc76020267"/>
      <w:r>
        <w:t>6.5.3</w:t>
      </w:r>
      <w:r>
        <w:tab/>
        <w:t>Spurious emissions</w:t>
      </w:r>
      <w:bookmarkEnd w:id="30"/>
      <w:bookmarkEnd w:id="31"/>
      <w:bookmarkEnd w:id="32"/>
      <w:bookmarkEnd w:id="33"/>
      <w:bookmarkEnd w:id="34"/>
      <w:bookmarkEnd w:id="35"/>
      <w:bookmarkEnd w:id="36"/>
      <w:bookmarkEnd w:id="37"/>
      <w:bookmarkEnd w:id="38"/>
    </w:p>
    <w:p>
      <w:r>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[22] and </w:t>
      </w:r>
      <w:r>
        <w:rPr>
          <w:lang w:eastAsia="zh-CN"/>
        </w:rPr>
        <w:t>NR</w:t>
      </w:r>
      <w:r>
        <w:t xml:space="preserve"> operating band requirement to address UE co-existence.</w:t>
      </w:r>
    </w:p>
    <w:p>
      <w:pPr>
        <w:rPr>
          <w:rFonts w:eastAsia="??"/>
          <w:b/>
          <w:bCs/>
          <w:color w:val="FF0000"/>
          <w:sz w:val="28"/>
          <w:szCs w:val="28"/>
        </w:rPr>
      </w:pPr>
      <w:r>
        <w:rPr>
          <w:rFonts w:eastAsia="??"/>
          <w:b/>
          <w:bCs/>
          <w:color w:val="FF0000"/>
          <w:sz w:val="28"/>
          <w:szCs w:val="28"/>
          <w:highlight w:val="yellow"/>
        </w:rPr>
        <w:t>&lt;&lt; Unchanged sections skipped&gt;&gt;</w:t>
      </w:r>
    </w:p>
    <w:p/>
    <w:p/>
    <w:p>
      <w:pPr>
        <w:pStyle w:val="Heading4"/>
      </w:pPr>
      <w:r>
        <w:t>6.5.3.3</w:t>
      </w:r>
      <w:r>
        <w:tab/>
      </w:r>
      <w:bookmarkStart w:id="46" w:name="_Hlk79175854"/>
      <w:r>
        <w:t>Additional spurious emissions</w:t>
      </w:r>
      <w:bookmarkEnd w:id="39"/>
      <w:bookmarkEnd w:id="40"/>
      <w:bookmarkEnd w:id="41"/>
      <w:bookmarkEnd w:id="42"/>
      <w:bookmarkEnd w:id="43"/>
      <w:bookmarkEnd w:id="44"/>
      <w:bookmarkEnd w:id="45"/>
      <w:bookmarkEnd w:id="46"/>
    </w:p>
    <w:p>
      <w:pPr>
        <w:pStyle w:val="EditorsNote"/>
      </w:pPr>
      <w:r>
        <w:t>Editor’s note: This clause is incomplete. The following aspects are either missing or not yet determined</w:t>
      </w:r>
    </w:p>
    <w:p>
      <w:pPr>
        <w:pStyle w:val="EditorsNote"/>
        <w:ind w:hanging="567"/>
        <w:rPr>
          <w:ins w:id="47" w:author="Kevin Wang (QMC)" w:date="2021-08-25T10:57:00Z"/>
        </w:rPr>
      </w:pPr>
      <w:bookmarkStart w:id="48" w:name="_Toc36226901"/>
      <w:bookmarkStart w:id="49" w:name="_Toc44324186"/>
      <w:r>
        <w:lastRenderedPageBreak/>
        <w:t xml:space="preserve">Initial conditions for </w:t>
      </w:r>
      <w:r>
        <w:rPr>
          <w:rFonts w:eastAsia="MS Mincho"/>
        </w:rPr>
        <w:t xml:space="preserve">NS_37, NS_38, NS_39, NS_40, NS_41, NS_42 and NS_45 </w:t>
      </w:r>
      <w:r>
        <w:t>are incomplete.</w:t>
      </w:r>
    </w:p>
    <w:p>
      <w:pPr>
        <w:pStyle w:val="EditorsNote"/>
        <w:ind w:left="567" w:firstLine="1"/>
        <w:pPrChange w:id="50" w:author="Kevin Wang (QMC)" w:date="2021-08-25T10:58:00Z">
          <w:pPr>
            <w:pStyle w:val="EditorsNote"/>
            <w:ind w:hanging="567"/>
          </w:pPr>
        </w:pPrChange>
      </w:pPr>
      <w:ins w:id="51" w:author="Kevin Wang (QMC)" w:date="2021-08-25T10:57:00Z">
        <w:r>
          <w:t>The requirements of this test case for NS_44, NS_46, NS_47, NS_48, and NS_49 apply to all types of NR</w:t>
        </w:r>
      </w:ins>
      <w:ins w:id="52" w:author="Kevin Wang (QMC)" w:date="2021-08-25T10:58:00Z">
        <w:r>
          <w:t xml:space="preserve"> </w:t>
        </w:r>
      </w:ins>
      <w:ins w:id="53" w:author="Kevin Wang (QMC)" w:date="2021-08-25T10:57:00Z">
        <w:r>
          <w:t>UE release 16 forward, and release 15 if the corresponding channel bandwidths are supported.</w:t>
        </w:r>
      </w:ins>
    </w:p>
    <w:p>
      <w:pPr>
        <w:pStyle w:val="H6"/>
      </w:pPr>
      <w:bookmarkStart w:id="54" w:name="_Toc52990380"/>
      <w:bookmarkStart w:id="55" w:name="_Toc60823579"/>
      <w:bookmarkStart w:id="56" w:name="_Toc60825501"/>
      <w:r>
        <w:t>6.5.3.3.1</w:t>
      </w:r>
      <w:r>
        <w:tab/>
        <w:t>Test purpose</w:t>
      </w:r>
      <w:bookmarkEnd w:id="48"/>
      <w:bookmarkEnd w:id="49"/>
      <w:bookmarkEnd w:id="54"/>
      <w:bookmarkEnd w:id="55"/>
      <w:bookmarkEnd w:id="56"/>
    </w:p>
    <w:p>
      <w:r>
        <w:t>To verify that UE transmitter does not cause unacceptable interference to other channels or other systems in terms of transmitter spurious emissions under the deployment scenarios where additional requirements are specified.</w:t>
      </w:r>
    </w:p>
    <w:p>
      <w:pPr>
        <w:pStyle w:val="H6"/>
      </w:pPr>
      <w:bookmarkStart w:id="57" w:name="_Toc36226902"/>
      <w:bookmarkStart w:id="58" w:name="_Toc44324187"/>
      <w:bookmarkStart w:id="59" w:name="_Toc52990381"/>
      <w:bookmarkStart w:id="60" w:name="_Toc60823580"/>
      <w:bookmarkStart w:id="61" w:name="_Toc60825502"/>
      <w:r>
        <w:t>6.5.3.3.2</w:t>
      </w:r>
      <w:r>
        <w:tab/>
        <w:t>Test applicability</w:t>
      </w:r>
      <w:bookmarkEnd w:id="57"/>
      <w:bookmarkEnd w:id="58"/>
      <w:bookmarkEnd w:id="59"/>
      <w:bookmarkEnd w:id="60"/>
      <w:bookmarkEnd w:id="61"/>
    </w:p>
    <w:p>
      <w:bookmarkStart w:id="62" w:name="_Hlk79176115"/>
      <w:bookmarkStart w:id="63" w:name="_Hlk80781211"/>
      <w:r>
        <w:t xml:space="preserve">This test case applies </w:t>
      </w:r>
      <w:bookmarkEnd w:id="63"/>
      <w:r>
        <w:t>to all types of NR UE release 15 and forward.</w:t>
      </w:r>
    </w:p>
    <w:p>
      <w:pPr>
        <w:pStyle w:val="H6"/>
        <w:rPr>
          <w:rFonts w:eastAsia="MS Mincho"/>
        </w:rPr>
      </w:pPr>
      <w:bookmarkStart w:id="64" w:name="_Toc36226903"/>
      <w:bookmarkStart w:id="65" w:name="_Toc44324188"/>
      <w:bookmarkStart w:id="66" w:name="_Toc52990382"/>
      <w:bookmarkStart w:id="67" w:name="_Toc60823581"/>
      <w:bookmarkStart w:id="68" w:name="_Toc60825503"/>
      <w:bookmarkEnd w:id="62"/>
      <w:r>
        <w:t>6.5.3.3.3</w:t>
      </w:r>
      <w:r>
        <w:tab/>
        <w:t>Minimum conformance requirements</w:t>
      </w:r>
      <w:bookmarkEnd w:id="64"/>
      <w:bookmarkEnd w:id="65"/>
      <w:bookmarkEnd w:id="66"/>
      <w:bookmarkEnd w:id="67"/>
      <w:bookmarkEnd w:id="68"/>
    </w:p>
    <w:p>
      <w:pPr>
        <w:rPr>
          <w:rFonts w:eastAsia="MS Mincho"/>
          <w:lang w:eastAsia="ja-JP"/>
        </w:rPr>
      </w:pPr>
      <w: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bookmarkEnd w:id="28"/>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w:altName w:val="MS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A67F7"/>
    <w:multiLevelType w:val="hybridMultilevel"/>
    <w:tmpl w:val="5F0C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16B7110"/>
    <w:multiLevelType w:val="hybridMultilevel"/>
    <w:tmpl w:val="9B34B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arC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H6Char">
    <w:name w:val="H6 Char"/>
    <w:link w:val="H6"/>
    <w:qFormat/>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736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724</TotalTime>
  <Pages>3</Pages>
  <Words>1047</Words>
  <Characters>5973</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47</cp:revision>
  <cp:lastPrinted>1900-01-01T08:00:00Z</cp:lastPrinted>
  <dcterms:created xsi:type="dcterms:W3CDTF">2020-02-03T08:32:00Z</dcterms:created>
  <dcterms:modified xsi:type="dcterms:W3CDTF">2021-08-25T18:00:00Z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